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A8451" w14:textId="77777777" w:rsidR="00CE258C" w:rsidRPr="00AE184F" w:rsidRDefault="00CE258C" w:rsidP="00AE184F">
      <w:pPr>
        <w:rPr>
          <w:b/>
          <w:i/>
        </w:rPr>
      </w:pPr>
      <w:r w:rsidRPr="00AE184F">
        <w:rPr>
          <w:b/>
          <w:i/>
        </w:rPr>
        <w:t xml:space="preserve">Studie zur Information Supply Chain </w:t>
      </w:r>
    </w:p>
    <w:p w14:paraId="1FB0ECC2" w14:textId="65508B74" w:rsidR="00CE258C" w:rsidRPr="00AE184F" w:rsidRDefault="00B5434D" w:rsidP="00AE184F">
      <w:pPr>
        <w:rPr>
          <w:b/>
          <w:sz w:val="36"/>
        </w:rPr>
      </w:pPr>
      <w:r w:rsidRPr="00AE184F">
        <w:rPr>
          <w:b/>
          <w:sz w:val="36"/>
        </w:rPr>
        <w:t>Die Welt im digitalen Wandel – ohne Deutschland?</w:t>
      </w:r>
    </w:p>
    <w:p w14:paraId="76D16DF0" w14:textId="73E2820C" w:rsidR="00E46132" w:rsidRPr="00AE5CED" w:rsidRDefault="00E46132" w:rsidP="00E46132">
      <w:pPr>
        <w:rPr>
          <w:b/>
          <w:lang w:eastAsia="de-DE"/>
        </w:rPr>
      </w:pPr>
      <w:r w:rsidRPr="00AE5CED">
        <w:rPr>
          <w:b/>
          <w:lang w:eastAsia="de-DE"/>
        </w:rPr>
        <w:t>Deutschland droht den Anschluss zu verlieren – das sagen diverse Verbände mit Bezug auf die Digitalisierungsbestrebungen</w:t>
      </w:r>
      <w:r w:rsidR="00A826BB">
        <w:rPr>
          <w:b/>
          <w:lang w:eastAsia="de-DE"/>
        </w:rPr>
        <w:t xml:space="preserve"> der künftigen Bundesregierung</w:t>
      </w:r>
      <w:r w:rsidRPr="00AE5CED">
        <w:rPr>
          <w:b/>
          <w:lang w:eastAsia="de-DE"/>
        </w:rPr>
        <w:t>. Tatsächlich scheint die Digitalisierung hierzulande hinterherzuhinken. Zu diesem Ergebnis kommt die EDEN-Studie</w:t>
      </w:r>
      <w:r w:rsidR="00813AFD">
        <w:rPr>
          <w:b/>
          <w:lang w:eastAsia="de-DE"/>
        </w:rPr>
        <w:t>.</w:t>
      </w:r>
    </w:p>
    <w:p w14:paraId="66257A18" w14:textId="5092C7E7" w:rsidR="00AE5CED" w:rsidRDefault="00AE5CED" w:rsidP="00CE258C">
      <w:r w:rsidRPr="00AE5CED">
        <w:t>„Die Digitalisierung ist die größte Veränderung der Gegenwart. Dieser Veränderung kann man nicht erfolgreich begegnen, indem man nichts ändert“</w:t>
      </w:r>
      <w:r w:rsidR="00BB5B8E">
        <w:t xml:space="preserve"> –</w:t>
      </w:r>
      <w:r>
        <w:t xml:space="preserve"> so die ersten beiden Sätze </w:t>
      </w:r>
      <w:r w:rsidR="00BB5B8E">
        <w:t>ein</w:t>
      </w:r>
      <w:r>
        <w:t>er von verschiedenen Verbänden gestarteten Petition</w:t>
      </w:r>
      <w:r w:rsidR="00BB5B8E">
        <w:t xml:space="preserve">, die </w:t>
      </w:r>
      <w:r>
        <w:t>von der zukünftigen Regierung die Ernennung eines Digitalministers</w:t>
      </w:r>
      <w:r w:rsidR="00BB5B8E">
        <w:t xml:space="preserve"> fordert</w:t>
      </w:r>
      <w:r>
        <w:t xml:space="preserve">. </w:t>
      </w:r>
      <w:r w:rsidR="001A752D">
        <w:t>Nach Ansicht der Verbände droht Deutschland im internationalen Vergleich abgehängt zu werden. Das zeigt sich unter anderem im schleppenden Breitbandausbau.</w:t>
      </w:r>
    </w:p>
    <w:p w14:paraId="3078700C" w14:textId="77777777" w:rsidR="00BB5B8E" w:rsidRDefault="00BB5B8E" w:rsidP="00BB5B8E">
      <w:pPr>
        <w:rPr>
          <w:b/>
        </w:rPr>
      </w:pPr>
      <w:r>
        <w:rPr>
          <w:b/>
        </w:rPr>
        <w:t>Digitalisierung per Gesetz?</w:t>
      </w:r>
    </w:p>
    <w:p w14:paraId="176F3844" w14:textId="77777777" w:rsidR="00BB5B8E" w:rsidRDefault="00BB5B8E" w:rsidP="00BB5B8E">
      <w:r>
        <w:t>Die Unternehmen bei der digitalen Transformation zu unterstützen, ist mit der aktuellen Aufteilung des Ressorts „Digitalisierung“ auf verschiedene Ministerien (Verkehr, Wirtschaft, Inneres und Bildung) nur schwer möglich. Der hohe Koordinationsaufwand untereinander führt zu langsamen Entscheidungsprozessen. Die Verbände hinter der Petition hoffen, dass ein Digitalministerium die komplette Verantwortung für die digitale Transformation tragen</w:t>
      </w:r>
      <w:r w:rsidRPr="00BB5B8E">
        <w:t xml:space="preserve"> </w:t>
      </w:r>
      <w:r>
        <w:t>würde, Kompetenzen und Ressourcen bündeln und Initiativen und Gesetzesentwürfe für die ganzheitliche digitale Transformation in Deutschland voranbringen</w:t>
      </w:r>
      <w:r w:rsidRPr="00BB5B8E">
        <w:t xml:space="preserve"> </w:t>
      </w:r>
      <w:r>
        <w:t>würde. So könnte Deutschland den Anschluss an den internationalen Wettbewerb wiederherstellen. Denn Frankreich, Großbritannien, Polen und Österreich haben bereits einen Minister für Digitales.</w:t>
      </w:r>
    </w:p>
    <w:p w14:paraId="0445115A" w14:textId="61BA0B44" w:rsidR="001A752D" w:rsidRPr="001A752D" w:rsidRDefault="001A752D" w:rsidP="00CE258C">
      <w:pPr>
        <w:rPr>
          <w:b/>
        </w:rPr>
      </w:pPr>
      <w:r>
        <w:rPr>
          <w:b/>
        </w:rPr>
        <w:t>Erschreckend</w:t>
      </w:r>
      <w:r w:rsidRPr="00571CBE">
        <w:rPr>
          <w:b/>
        </w:rPr>
        <w:t xml:space="preserve">: </w:t>
      </w:r>
      <w:r w:rsidR="00BB5B8E">
        <w:rPr>
          <w:b/>
        </w:rPr>
        <w:t xml:space="preserve">Unternehmen haben </w:t>
      </w:r>
      <w:r>
        <w:rPr>
          <w:b/>
        </w:rPr>
        <w:t xml:space="preserve">Digitalisierung oft </w:t>
      </w:r>
      <w:r w:rsidRPr="00571CBE">
        <w:rPr>
          <w:b/>
        </w:rPr>
        <w:t>noch nicht begonnen</w:t>
      </w:r>
    </w:p>
    <w:p w14:paraId="3A827DDF" w14:textId="1A8E26CF" w:rsidR="00E46132" w:rsidRDefault="00E46132" w:rsidP="00CE258C">
      <w:r>
        <w:t>Die</w:t>
      </w:r>
      <w:r w:rsidRPr="00E46132">
        <w:t xml:space="preserve"> </w:t>
      </w:r>
      <w:r>
        <w:t xml:space="preserve">von The Group </w:t>
      </w:r>
      <w:proofErr w:type="spellStart"/>
      <w:r>
        <w:t>of</w:t>
      </w:r>
      <w:proofErr w:type="spellEnd"/>
      <w:r>
        <w:t xml:space="preserve"> </w:t>
      </w:r>
      <w:proofErr w:type="spellStart"/>
      <w:r>
        <w:t>Analysts</w:t>
      </w:r>
      <w:proofErr w:type="spellEnd"/>
      <w:r>
        <w:t xml:space="preserve"> in Zusammenarbeit mit techconsult erstellte EDEN-Studie zeigt, dass </w:t>
      </w:r>
      <w:r w:rsidR="001A752D">
        <w:t>die Verbände mit ihrer Vermutung nicht falsch liegen. K</w:t>
      </w:r>
      <w:r>
        <w:t xml:space="preserve">napp 40% der Unternehmen </w:t>
      </w:r>
      <w:r w:rsidR="001A752D">
        <w:t xml:space="preserve">hatten </w:t>
      </w:r>
      <w:r>
        <w:t xml:space="preserve">Anfang 2017 noch kein konkretes Vorhaben zur digitalen Transformation gestartet. Auch existierten bei </w:t>
      </w:r>
      <w:r w:rsidR="005A476D">
        <w:t>einigen</w:t>
      </w:r>
      <w:r>
        <w:t xml:space="preserve"> der Befragten noch keine konkreten Pläne, die digitale Transformation anzugehen. Nur für knapp ein Viertel der Unternehmen gab es bereits vor 2014 entsprechende Vorhaben.</w:t>
      </w:r>
      <w:r w:rsidR="00B5434D">
        <w:t xml:space="preserve"> Ein Ergebnis, das angesichts der </w:t>
      </w:r>
      <w:r w:rsidR="00A31B30">
        <w:t xml:space="preserve">Zukunftsthemen rund um Industrie 4.0, Big Data oder 5G </w:t>
      </w:r>
      <w:r w:rsidR="00546D49">
        <w:t>bedenklich ist.</w:t>
      </w:r>
    </w:p>
    <w:p w14:paraId="284B6EE2" w14:textId="77777777" w:rsidR="00112BA7" w:rsidRDefault="00112BA7" w:rsidP="00112BA7">
      <w:bookmarkStart w:id="0" w:name="_GoBack"/>
      <w:r w:rsidRPr="009D77E0">
        <w:rPr>
          <w:noProof/>
        </w:rPr>
        <w:lastRenderedPageBreak/>
        <w:drawing>
          <wp:inline distT="0" distB="0" distL="0" distR="0" wp14:anchorId="4DEB5D6E" wp14:editId="596C362D">
            <wp:extent cx="5760720" cy="4336415"/>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4336415"/>
                    </a:xfrm>
                    <a:prstGeom prst="rect">
                      <a:avLst/>
                    </a:prstGeom>
                  </pic:spPr>
                </pic:pic>
              </a:graphicData>
            </a:graphic>
          </wp:inline>
        </w:drawing>
      </w:r>
      <w:bookmarkEnd w:id="0"/>
    </w:p>
    <w:p w14:paraId="2F905E48" w14:textId="3F801970" w:rsidR="00A826BB" w:rsidRPr="00112BA7" w:rsidRDefault="00112BA7" w:rsidP="00CE258C">
      <w:pPr>
        <w:rPr>
          <w:i/>
        </w:rPr>
      </w:pPr>
      <w:r w:rsidRPr="00C566A4">
        <w:rPr>
          <w:i/>
        </w:rPr>
        <w:t>Abbildung: 38,9 Prozent der in der Studie befragten Unternehmen haben noch keine konkreten Projekte zur digitalen Transformation gestartet. (Bildnachweis: TGOA EDEN Study 201</w:t>
      </w:r>
      <w:r w:rsidR="00816530">
        <w:rPr>
          <w:i/>
        </w:rPr>
        <w:t>8</w:t>
      </w:r>
      <w:r w:rsidRPr="00C566A4">
        <w:rPr>
          <w:i/>
        </w:rPr>
        <w:t>, CC-BY-SA)</w:t>
      </w:r>
    </w:p>
    <w:p w14:paraId="7ABDF511" w14:textId="77777777" w:rsidR="00546D49" w:rsidRDefault="00546D49" w:rsidP="001626E1"/>
    <w:p w14:paraId="180631B5" w14:textId="0ED924F9" w:rsidR="009D77E0" w:rsidRPr="009D77E0" w:rsidRDefault="009D77E0" w:rsidP="00571CBE">
      <w:pPr>
        <w:rPr>
          <w:b/>
        </w:rPr>
      </w:pPr>
      <w:r w:rsidRPr="009D77E0">
        <w:rPr>
          <w:b/>
        </w:rPr>
        <w:t>Status-quo-Bestimmung für Unternehmen</w:t>
      </w:r>
    </w:p>
    <w:p w14:paraId="5413F379" w14:textId="697541A3" w:rsidR="00CE258C" w:rsidRDefault="00CE258C" w:rsidP="00CE258C">
      <w:r>
        <w:t xml:space="preserve">Die European Digital Entity Norm (EDEN), die von The Group </w:t>
      </w:r>
      <w:proofErr w:type="spellStart"/>
      <w:r>
        <w:t>of</w:t>
      </w:r>
      <w:proofErr w:type="spellEnd"/>
      <w:r>
        <w:t xml:space="preserve"> </w:t>
      </w:r>
      <w:proofErr w:type="spellStart"/>
      <w:r>
        <w:t>Analysts</w:t>
      </w:r>
      <w:proofErr w:type="spellEnd"/>
      <w:r>
        <w:t xml:space="preserve"> ins Leben gerufen und in Kooperation mit dem Analystenhaus techconsult umgesetzt wurde, möchte die Status-quo-Ermittlung unterstützen und Interpretationsansätze liefern, um Unternehmen auf dem Weg der digitalen Transformation zu begleiten. Die gleichnamige Studie legt dabei den Fokus auf Software-Lösungen, die entlang der Information Supply Chain eingesetzt werden. Auf dieser Grundlage bietet die EDEN Level-Bestimmung unter </w:t>
      </w:r>
      <w:bookmarkStart w:id="1" w:name="_Hlk506389217"/>
      <w:r>
        <w:fldChar w:fldCharType="begin"/>
      </w:r>
      <w:r w:rsidR="00ED4652">
        <w:instrText>HYPERLINK "\\\\sys16\\tc99\\Abteilungsordner\\Project\\Projekte 2018\\TGOA\\Presse\\www.edenstudy.com"</w:instrText>
      </w:r>
      <w:r>
        <w:fldChar w:fldCharType="separate"/>
      </w:r>
      <w:r w:rsidRPr="00CE258C">
        <w:rPr>
          <w:rStyle w:val="Hyperlink"/>
        </w:rPr>
        <w:t>www.edenstudy.com</w:t>
      </w:r>
      <w:bookmarkEnd w:id="1"/>
      <w:r>
        <w:fldChar w:fldCharType="end"/>
      </w:r>
      <w:r>
        <w:t xml:space="preserve"> erste Anhaltspunkte für Unternehmen, die sich bisher noch nicht mit der </w:t>
      </w:r>
      <w:r w:rsidR="00BB5B8E">
        <w:t xml:space="preserve">Digitalisierung ihrer </w:t>
      </w:r>
      <w:r>
        <w:t>Information Supply Chain auseinandergesetzt haben. Ebenfalls steht dort die EDEN Study (European Digital Entity Norm) nach einer kostenfreien Registrierung zum Download bereit.</w:t>
      </w:r>
    </w:p>
    <w:p w14:paraId="1CBE32E8" w14:textId="77777777" w:rsidR="00CE258C" w:rsidRDefault="00CE258C" w:rsidP="00CE258C"/>
    <w:p w14:paraId="1C7059E0" w14:textId="10E03450" w:rsidR="00CE258C" w:rsidRPr="00CE258C" w:rsidRDefault="00CE258C" w:rsidP="00CE258C">
      <w:pPr>
        <w:rPr>
          <w:b/>
        </w:rPr>
      </w:pPr>
      <w:r w:rsidRPr="00CE258C">
        <w:rPr>
          <w:b/>
        </w:rPr>
        <w:t>Quellen/weiterführende Informationen:</w:t>
      </w:r>
    </w:p>
    <w:p w14:paraId="187FD270" w14:textId="77777777" w:rsidR="00CE258C" w:rsidRDefault="00AE184F" w:rsidP="00CE258C">
      <w:hyperlink r:id="rId7" w:history="1">
        <w:r w:rsidR="00CE258C" w:rsidRPr="00743DE5">
          <w:rPr>
            <w:rStyle w:val="Hyperlink"/>
          </w:rPr>
          <w:t>https://www.edenstudy.com</w:t>
        </w:r>
      </w:hyperlink>
      <w:r w:rsidR="00CE258C">
        <w:t xml:space="preserve"> </w:t>
      </w:r>
    </w:p>
    <w:p w14:paraId="1D34B5F4" w14:textId="5E1247E8" w:rsidR="00CE258C" w:rsidRDefault="00AE184F" w:rsidP="00CE258C">
      <w:hyperlink r:id="rId8" w:history="1">
        <w:r w:rsidR="00CE258C" w:rsidRPr="00743DE5">
          <w:rPr>
            <w:rStyle w:val="Hyperlink"/>
          </w:rPr>
          <w:t>http://www.techconsult.de/studien/studie-zur-information-supply-chain</w:t>
        </w:r>
      </w:hyperlink>
      <w:r w:rsidR="00CE258C">
        <w:t xml:space="preserve"> </w:t>
      </w:r>
    </w:p>
    <w:p w14:paraId="5A0708C6" w14:textId="77777777" w:rsidR="00CE258C" w:rsidRDefault="00CE258C" w:rsidP="00CE258C"/>
    <w:p w14:paraId="4905FD1E" w14:textId="2DD185CE" w:rsidR="00CE258C" w:rsidRPr="00721B66" w:rsidRDefault="00CE258C" w:rsidP="00CE258C">
      <w:pPr>
        <w:rPr>
          <w:lang w:val="en-US"/>
        </w:rPr>
      </w:pPr>
      <w:r w:rsidRPr="00721B66">
        <w:rPr>
          <w:lang w:val="en-US"/>
        </w:rPr>
        <w:t>Autor:</w:t>
      </w:r>
    </w:p>
    <w:p w14:paraId="4949BD60" w14:textId="4C319C19" w:rsidR="001E3633" w:rsidRDefault="001E3633" w:rsidP="001E3633">
      <w:pPr>
        <w:rPr>
          <w:rFonts w:eastAsia="Calibri"/>
          <w:lang w:val="en-US"/>
        </w:rPr>
      </w:pPr>
      <w:r w:rsidRPr="00997D96">
        <w:rPr>
          <w:rFonts w:eastAsia="Calibri"/>
          <w:lang w:val="en-US"/>
        </w:rPr>
        <w:t>Henrik Groß, Senior Analyst</w:t>
      </w:r>
      <w:r w:rsidRPr="00997D96">
        <w:rPr>
          <w:rFonts w:eastAsia="Calibri"/>
          <w:lang w:val="en-US"/>
        </w:rPr>
        <w:br/>
        <w:t>tech</w:t>
      </w:r>
      <w:r w:rsidRPr="00997D96">
        <w:rPr>
          <w:rFonts w:eastAsia="Calibri"/>
          <w:b/>
          <w:lang w:val="en-US"/>
        </w:rPr>
        <w:t xml:space="preserve">consult </w:t>
      </w:r>
      <w:r w:rsidRPr="00997D96">
        <w:rPr>
          <w:rFonts w:eastAsia="Calibri"/>
          <w:lang w:val="en-US"/>
        </w:rPr>
        <w:t>GmbH</w:t>
      </w:r>
    </w:p>
    <w:p w14:paraId="2CF2E86A" w14:textId="77777777" w:rsidR="003D1B6B" w:rsidRPr="00997D96" w:rsidRDefault="003D1B6B" w:rsidP="001E3633">
      <w:pPr>
        <w:rPr>
          <w:rFonts w:eastAsia="Calibri"/>
          <w:lang w:val="en-US"/>
        </w:rPr>
      </w:pPr>
    </w:p>
    <w:p w14:paraId="7DCAEA7E" w14:textId="77777777" w:rsidR="00997D96" w:rsidRPr="00AE184F" w:rsidRDefault="00997D96" w:rsidP="00AE184F">
      <w:pPr>
        <w:rPr>
          <w:b/>
          <w:lang w:val="en-US"/>
        </w:rPr>
      </w:pPr>
      <w:proofErr w:type="spellStart"/>
      <w:r w:rsidRPr="00AE184F">
        <w:rPr>
          <w:b/>
          <w:lang w:val="en-US"/>
        </w:rPr>
        <w:t>Über</w:t>
      </w:r>
      <w:proofErr w:type="spellEnd"/>
      <w:r w:rsidRPr="00AE184F">
        <w:rPr>
          <w:b/>
          <w:lang w:val="en-US"/>
        </w:rPr>
        <w:t xml:space="preserve"> The Group of Analysts (TGOA) </w:t>
      </w:r>
    </w:p>
    <w:p w14:paraId="6C92E89E" w14:textId="77777777" w:rsidR="00997D96" w:rsidRPr="005B245C" w:rsidRDefault="00997D96" w:rsidP="00997D96">
      <w:pPr>
        <w:rPr>
          <w:rFonts w:eastAsia="MS PGothic"/>
          <w:noProof/>
        </w:rPr>
      </w:pPr>
      <w:r w:rsidRPr="005B245C">
        <w:rPr>
          <w:rFonts w:eastAsia="MS PGothic"/>
          <w:noProof/>
        </w:rPr>
        <w:t xml:space="preserve">Die Group of Analysts AG ist </w:t>
      </w:r>
      <w:r w:rsidRPr="004F5FC0">
        <w:rPr>
          <w:rFonts w:eastAsia="MS PGothic"/>
          <w:noProof/>
        </w:rPr>
        <w:t xml:space="preserve">ein renommiertes und seit mehr als 10 Jahren am Markt etabliertes </w:t>
      </w:r>
      <w:r w:rsidRPr="005B245C">
        <w:rPr>
          <w:rFonts w:eastAsia="MS PGothic"/>
          <w:noProof/>
        </w:rPr>
        <w:t xml:space="preserve">Marktforschungs- und Beratungsunternehmen mit Sitz </w:t>
      </w:r>
      <w:r>
        <w:rPr>
          <w:rFonts w:eastAsia="MS PGothic"/>
          <w:noProof/>
        </w:rPr>
        <w:t xml:space="preserve">in Meersburg </w:t>
      </w:r>
      <w:r w:rsidRPr="005B245C">
        <w:rPr>
          <w:rFonts w:eastAsia="MS PGothic"/>
          <w:noProof/>
        </w:rPr>
        <w:t xml:space="preserve">am Bodensee. </w:t>
      </w:r>
      <w:r>
        <w:rPr>
          <w:rFonts w:eastAsia="MS PGothic"/>
          <w:noProof/>
        </w:rPr>
        <w:t xml:space="preserve">Das </w:t>
      </w:r>
      <w:r w:rsidRPr="004F5FC0">
        <w:rPr>
          <w:rFonts w:eastAsia="MS PGothic"/>
          <w:noProof/>
        </w:rPr>
        <w:t>TGOA</w:t>
      </w:r>
      <w:r w:rsidR="009F1D0D">
        <w:rPr>
          <w:rFonts w:eastAsia="MS PGothic"/>
          <w:noProof/>
        </w:rPr>
        <w:t>-</w:t>
      </w:r>
      <w:r w:rsidRPr="004F5FC0">
        <w:rPr>
          <w:rFonts w:eastAsia="MS PGothic"/>
          <w:noProof/>
        </w:rPr>
        <w:t xml:space="preserve">Analystennetzwerk </w:t>
      </w:r>
      <w:r>
        <w:rPr>
          <w:rFonts w:eastAsia="MS PGothic"/>
          <w:noProof/>
        </w:rPr>
        <w:t>beo</w:t>
      </w:r>
      <w:r w:rsidRPr="005B245C">
        <w:rPr>
          <w:rFonts w:eastAsia="MS PGothic"/>
          <w:noProof/>
        </w:rPr>
        <w:t>bachte</w:t>
      </w:r>
      <w:r>
        <w:rPr>
          <w:rFonts w:eastAsia="MS PGothic"/>
          <w:noProof/>
        </w:rPr>
        <w:t>t</w:t>
      </w:r>
      <w:r w:rsidRPr="005B245C">
        <w:rPr>
          <w:rFonts w:eastAsia="MS PGothic"/>
          <w:noProof/>
        </w:rPr>
        <w:t xml:space="preserve"> und evaluier</w:t>
      </w:r>
      <w:r>
        <w:rPr>
          <w:rFonts w:eastAsia="MS PGothic"/>
          <w:noProof/>
        </w:rPr>
        <w:t>t</w:t>
      </w:r>
      <w:r w:rsidRPr="005B245C">
        <w:rPr>
          <w:rFonts w:eastAsia="MS PGothic"/>
          <w:noProof/>
        </w:rPr>
        <w:t xml:space="preserve"> die effektive </w:t>
      </w:r>
      <w:r w:rsidRPr="004F5FC0">
        <w:rPr>
          <w:rFonts w:eastAsia="MS PGothic"/>
        </w:rPr>
        <w:t>Leistungsfä</w:t>
      </w:r>
      <w:r w:rsidR="00E2408F">
        <w:rPr>
          <w:rFonts w:eastAsia="MS PGothic"/>
        </w:rPr>
        <w:t>h</w:t>
      </w:r>
      <w:r w:rsidRPr="004F5FC0">
        <w:rPr>
          <w:rFonts w:eastAsia="MS PGothic"/>
        </w:rPr>
        <w:t>igkeit</w:t>
      </w:r>
      <w:r w:rsidRPr="004F5FC0">
        <w:rPr>
          <w:rFonts w:eastAsia="MS PGothic"/>
          <w:noProof/>
        </w:rPr>
        <w:t xml:space="preserve"> von Unternehmen des</w:t>
      </w:r>
      <w:r w:rsidRPr="005B245C">
        <w:rPr>
          <w:rFonts w:eastAsia="MS PGothic"/>
          <w:noProof/>
        </w:rPr>
        <w:t xml:space="preserve"> Software</w:t>
      </w:r>
      <w:r w:rsidRPr="004F5FC0">
        <w:rPr>
          <w:rFonts w:eastAsia="MS PGothic"/>
          <w:noProof/>
        </w:rPr>
        <w:t>-Marktes</w:t>
      </w:r>
      <w:r w:rsidR="004F5FC0" w:rsidRPr="004F5FC0">
        <w:rPr>
          <w:rFonts w:eastAsia="MS PGothic"/>
          <w:noProof/>
        </w:rPr>
        <w:t xml:space="preserve"> </w:t>
      </w:r>
      <w:r w:rsidRPr="005B245C">
        <w:rPr>
          <w:rFonts w:eastAsia="MS PGothic"/>
          <w:noProof/>
        </w:rPr>
        <w:t xml:space="preserve">basierend auf einer </w:t>
      </w:r>
      <w:r w:rsidRPr="004F5FC0">
        <w:rPr>
          <w:rFonts w:eastAsia="MS PGothic"/>
          <w:noProof/>
        </w:rPr>
        <w:t>einzigartigen</w:t>
      </w:r>
      <w:r w:rsidR="004F5FC0" w:rsidRPr="004F5FC0">
        <w:rPr>
          <w:rFonts w:eastAsia="MS PGothic"/>
          <w:noProof/>
          <w:color w:val="FF0000"/>
        </w:rPr>
        <w:t xml:space="preserve"> </w:t>
      </w:r>
      <w:r w:rsidRPr="004F5FC0">
        <w:rPr>
          <w:rFonts w:eastAsia="MS PGothic"/>
          <w:noProof/>
        </w:rPr>
        <w:t xml:space="preserve">Analysemethode, die Kundenevaluationen und Forschungsergebnisse der letzten zwölf Jahre miteinbezieht. Die TGOA kann dabei auf Informationen von mehr als 24.000 Unternehmen aus dem Bereich des Demand Marktes und über 400 Unternehmen aus dem Bereich des Supply Marktes zurückgreifen. </w:t>
      </w:r>
      <w:r w:rsidRPr="005B245C">
        <w:rPr>
          <w:rFonts w:eastAsia="MS PGothic"/>
          <w:noProof/>
        </w:rPr>
        <w:t xml:space="preserve">Konzentrische Schaubilder, Market Performance Wheels genannt, sind das Ergebnis. Diese wundervoll designte, konzentrische Bündelung an Wissen ermöglicht multidimensionale Einblicke. MPWs sind einzigartig auf dem Markt und erfassen die DNA der Unternehmen und deren Produkte. </w:t>
      </w:r>
    </w:p>
    <w:p w14:paraId="5AF2F78C" w14:textId="77777777" w:rsidR="00997D96" w:rsidRPr="00DB554F" w:rsidRDefault="00997D96" w:rsidP="00997D96"/>
    <w:p w14:paraId="360FA355" w14:textId="77777777" w:rsidR="00997D96" w:rsidRPr="00E75297" w:rsidRDefault="00997D96" w:rsidP="00997D96">
      <w:pPr>
        <w:rPr>
          <w:lang w:val="en-US"/>
        </w:rPr>
      </w:pPr>
      <w:r w:rsidRPr="00E75297">
        <w:rPr>
          <w:lang w:val="en-US"/>
        </w:rPr>
        <w:t>The Group of Analysts AG</w:t>
      </w:r>
      <w:r w:rsidRPr="00E75297">
        <w:rPr>
          <w:lang w:val="en-US"/>
        </w:rPr>
        <w:br/>
      </w:r>
      <w:proofErr w:type="spellStart"/>
      <w:r w:rsidRPr="00E75297">
        <w:rPr>
          <w:lang w:val="en-US"/>
        </w:rPr>
        <w:t>Uferpromenade</w:t>
      </w:r>
      <w:proofErr w:type="spellEnd"/>
      <w:r w:rsidRPr="00E75297">
        <w:rPr>
          <w:lang w:val="en-US"/>
        </w:rPr>
        <w:t xml:space="preserve"> 5</w:t>
      </w:r>
      <w:r w:rsidRPr="00E75297">
        <w:rPr>
          <w:lang w:val="en-US"/>
        </w:rPr>
        <w:br/>
        <w:t xml:space="preserve">88709 </w:t>
      </w:r>
      <w:proofErr w:type="spellStart"/>
      <w:r w:rsidRPr="00E75297">
        <w:rPr>
          <w:lang w:val="en-US"/>
        </w:rPr>
        <w:t>Meersburg</w:t>
      </w:r>
      <w:proofErr w:type="spellEnd"/>
      <w:r w:rsidRPr="00E75297">
        <w:rPr>
          <w:lang w:val="en-US"/>
        </w:rPr>
        <w:t>, Germany</w:t>
      </w:r>
    </w:p>
    <w:p w14:paraId="10F9B5D2" w14:textId="77777777" w:rsidR="00997D96" w:rsidRDefault="00997D96" w:rsidP="00997D96">
      <w:r w:rsidRPr="003B0763">
        <w:rPr>
          <w:rFonts w:eastAsia="MS PGothic"/>
        </w:rPr>
        <w:t xml:space="preserve">E-Mail: </w:t>
      </w:r>
      <w:r w:rsidRPr="003B0763">
        <w:rPr>
          <w:rFonts w:eastAsia="MS PGothic"/>
        </w:rPr>
        <w:tab/>
      </w:r>
      <w:r>
        <w:rPr>
          <w:rFonts w:eastAsia="MS PGothic"/>
        </w:rPr>
        <w:tab/>
      </w:r>
      <w:hyperlink r:id="rId9" w:history="1">
        <w:r w:rsidRPr="00EF79C6">
          <w:rPr>
            <w:rStyle w:val="Hyperlink"/>
          </w:rPr>
          <w:t>info@tgoa.com</w:t>
        </w:r>
      </w:hyperlink>
      <w:r>
        <w:t xml:space="preserve"> </w:t>
      </w:r>
      <w:r>
        <w:br/>
      </w:r>
      <w:r w:rsidRPr="00E75297">
        <w:rPr>
          <w:rFonts w:eastAsia="MS PGothic"/>
        </w:rPr>
        <w:t xml:space="preserve">Internet: </w:t>
      </w:r>
      <w:r w:rsidRPr="00E75297">
        <w:rPr>
          <w:rFonts w:eastAsia="MS PGothic"/>
        </w:rPr>
        <w:tab/>
      </w:r>
      <w:hyperlink r:id="rId10" w:history="1">
        <w:r w:rsidRPr="00EF79C6">
          <w:rPr>
            <w:rStyle w:val="Hyperlink"/>
          </w:rPr>
          <w:t>www.tgoa.com</w:t>
        </w:r>
      </w:hyperlink>
    </w:p>
    <w:p w14:paraId="56C0E6C5" w14:textId="77777777" w:rsidR="00997D96" w:rsidRDefault="00997D96" w:rsidP="0038077D"/>
    <w:p w14:paraId="4161F739" w14:textId="77777777" w:rsidR="001E3633" w:rsidRPr="00AE184F" w:rsidRDefault="001E3633" w:rsidP="00AE184F">
      <w:pPr>
        <w:rPr>
          <w:b/>
        </w:rPr>
      </w:pPr>
      <w:r w:rsidRPr="00AE184F">
        <w:rPr>
          <w:b/>
        </w:rPr>
        <w:t>Über techconsult</w:t>
      </w:r>
    </w:p>
    <w:p w14:paraId="66560F82" w14:textId="77777777" w:rsidR="001E3633" w:rsidRPr="003B0763" w:rsidRDefault="001E3633" w:rsidP="001E3633">
      <w:pPr>
        <w:rPr>
          <w:rFonts w:eastAsia="MS PGothic"/>
          <w:bCs/>
          <w:noProof/>
        </w:rPr>
      </w:pPr>
      <w:r w:rsidRPr="007327B9">
        <w:rPr>
          <w:rFonts w:eastAsia="MS PGothic"/>
          <w:noProof/>
        </w:rPr>
        <w:t>Als Research</w:t>
      </w:r>
      <w:r>
        <w:rPr>
          <w:rFonts w:eastAsia="MS PGothic"/>
          <w:noProof/>
        </w:rPr>
        <w:t>-</w:t>
      </w:r>
      <w:r w:rsidRPr="007327B9">
        <w:rPr>
          <w:rFonts w:eastAsia="MS PGothic"/>
          <w:noProof/>
        </w:rPr>
        <w:t xml:space="preserve"> und Analystenhaus ist techconsult seit 25 Jahren der Partner für Anbieter und Nachfrager digitaler Technologien und Services. Analysen auf der Anwenderseite erlauben einen Einblick in die Problemfelder und Zukunftsvisionen der Unternehmen. Für ein realitätsnahes Bild sorg</w:t>
      </w:r>
      <w:r>
        <w:rPr>
          <w:rFonts w:eastAsia="MS PGothic"/>
          <w:noProof/>
        </w:rPr>
        <w:t xml:space="preserve">en dafür über 20.000 Interviews pro </w:t>
      </w:r>
      <w:r w:rsidRPr="007327B9">
        <w:rPr>
          <w:rFonts w:eastAsia="MS PGothic"/>
          <w:noProof/>
        </w:rPr>
        <w:t xml:space="preserve">Jahr mit Business- und IT-Entscheidern. In Verbindung mit dem permanenten Screening von Produkten und Serviceleistungen der Anbieter erfolgt die erfolgsorientierte Strategie- und Umsetzungsberatung. Auf digitalen Plattformen stellt techconsult Business- und IT-Entscheidern seit vielen Jahren themenspezifische Assessment-Tools zur Problemfeld- und Positionierungsanalyse zur Verfügung. Die techconsult GmbH wird vom geschäftsführenden Gesellschafter und Gründer Peter Burghardt am Standort Kassel mit einer Niederlassung in </w:t>
      </w:r>
      <w:r w:rsidRPr="003B0763">
        <w:rPr>
          <w:rFonts w:eastAsia="MS PGothic"/>
          <w:noProof/>
        </w:rPr>
        <w:t>München geleitet und ist Teil der Heise Gruppe.</w:t>
      </w:r>
    </w:p>
    <w:p w14:paraId="0E9DEB36" w14:textId="77777777" w:rsidR="001E3633" w:rsidRPr="00AE184F" w:rsidRDefault="001E3633" w:rsidP="00AE184F">
      <w:pPr>
        <w:rPr>
          <w:rFonts w:eastAsia="MS PGothic"/>
          <w:b/>
        </w:rPr>
      </w:pPr>
      <w:r w:rsidRPr="00AE184F">
        <w:rPr>
          <w:rFonts w:eastAsia="MS PGothic"/>
          <w:b/>
        </w:rPr>
        <w:lastRenderedPageBreak/>
        <w:t xml:space="preserve">Weitere </w:t>
      </w:r>
      <w:r w:rsidRPr="00AE184F">
        <w:rPr>
          <w:rFonts w:eastAsia="Times New Roman"/>
          <w:b/>
        </w:rPr>
        <w:t>Informationen</w:t>
      </w:r>
      <w:r w:rsidRPr="00AE184F">
        <w:rPr>
          <w:rFonts w:eastAsia="MS PGothic"/>
          <w:b/>
        </w:rPr>
        <w:t xml:space="preserve"> für Journalisten und PR</w:t>
      </w:r>
    </w:p>
    <w:p w14:paraId="5B552931" w14:textId="77777777" w:rsidR="001E3633" w:rsidRPr="003B0763" w:rsidRDefault="001E3633" w:rsidP="001E3633">
      <w:pPr>
        <w:rPr>
          <w:rFonts w:eastAsia="MS PGothic"/>
          <w:lang w:val="en-US"/>
        </w:rPr>
      </w:pPr>
      <w:r w:rsidRPr="003B0763">
        <w:rPr>
          <w:rFonts w:eastAsia="MS PGothic"/>
          <w:lang w:val="en-US"/>
        </w:rPr>
        <w:t>Nancy Weddig</w:t>
      </w:r>
      <w:r>
        <w:rPr>
          <w:rFonts w:eastAsia="MS PGothic"/>
          <w:lang w:val="en-US"/>
        </w:rPr>
        <w:br/>
      </w:r>
      <w:r w:rsidRPr="003B0763">
        <w:rPr>
          <w:rFonts w:eastAsia="MS PGothic"/>
          <w:lang w:val="en-US"/>
        </w:rPr>
        <w:t>– Public Relations –</w:t>
      </w:r>
    </w:p>
    <w:p w14:paraId="6D1A2DF1" w14:textId="77777777" w:rsidR="001E3633" w:rsidRPr="00E75297" w:rsidRDefault="001E3633" w:rsidP="001E3633">
      <w:pPr>
        <w:rPr>
          <w:rFonts w:eastAsia="MS PGothic"/>
          <w:lang w:val="en-US"/>
        </w:rPr>
      </w:pPr>
      <w:r w:rsidRPr="003B0763">
        <w:rPr>
          <w:rFonts w:eastAsia="MS PGothic"/>
          <w:lang w:val="en-US"/>
        </w:rPr>
        <w:t>Tel.: +49-561-8109-140</w:t>
      </w:r>
      <w:r>
        <w:rPr>
          <w:rFonts w:eastAsia="MS PGothic"/>
          <w:lang w:val="en-US"/>
        </w:rPr>
        <w:br/>
      </w:r>
      <w:r w:rsidRPr="00E75297">
        <w:rPr>
          <w:rFonts w:eastAsia="MS PGothic"/>
          <w:lang w:val="en-US"/>
        </w:rPr>
        <w:t>Fax: +49-561-8109-101</w:t>
      </w:r>
    </w:p>
    <w:p w14:paraId="20615B08" w14:textId="77777777" w:rsidR="001E3633" w:rsidRPr="00E75297" w:rsidRDefault="001E3633" w:rsidP="001E3633">
      <w:pPr>
        <w:rPr>
          <w:rFonts w:eastAsia="MS PGothic"/>
        </w:rPr>
      </w:pPr>
      <w:r w:rsidRPr="003B0763">
        <w:rPr>
          <w:rFonts w:eastAsia="MS PGothic"/>
        </w:rPr>
        <w:t xml:space="preserve">E-Mail: </w:t>
      </w:r>
      <w:r w:rsidRPr="003B0763">
        <w:rPr>
          <w:rFonts w:eastAsia="MS PGothic"/>
        </w:rPr>
        <w:tab/>
      </w:r>
      <w:r w:rsidR="00D42C6A">
        <w:rPr>
          <w:rFonts w:eastAsia="MS PGothic"/>
        </w:rPr>
        <w:tab/>
      </w:r>
      <w:hyperlink r:id="rId11" w:history="1">
        <w:r w:rsidRPr="003B0763">
          <w:rPr>
            <w:rFonts w:eastAsia="MS PGothic"/>
            <w:color w:val="0563C1"/>
            <w:u w:val="single"/>
          </w:rPr>
          <w:t>nancy.weddig@techconsult.de</w:t>
        </w:r>
      </w:hyperlink>
      <w:r w:rsidRPr="003B0763">
        <w:rPr>
          <w:rFonts w:eastAsia="MS PGothic"/>
        </w:rPr>
        <w:t xml:space="preserve"> </w:t>
      </w:r>
      <w:r>
        <w:rPr>
          <w:rFonts w:eastAsia="MS PGothic"/>
        </w:rPr>
        <w:br/>
      </w:r>
      <w:r w:rsidRPr="00E75297">
        <w:rPr>
          <w:rFonts w:eastAsia="MS PGothic"/>
        </w:rPr>
        <w:t xml:space="preserve">Internet: </w:t>
      </w:r>
      <w:r w:rsidRPr="00E75297">
        <w:rPr>
          <w:rFonts w:eastAsia="MS PGothic"/>
        </w:rPr>
        <w:tab/>
      </w:r>
      <w:hyperlink r:id="rId12" w:history="1">
        <w:r w:rsidRPr="00E75297">
          <w:rPr>
            <w:rFonts w:eastAsia="MS PGothic"/>
            <w:color w:val="0563C1"/>
            <w:u w:val="single"/>
          </w:rPr>
          <w:t>www.techconsult.de</w:t>
        </w:r>
      </w:hyperlink>
      <w:r w:rsidRPr="00E75297">
        <w:rPr>
          <w:rFonts w:eastAsia="MS PGothic"/>
        </w:rPr>
        <w:t xml:space="preserve"> </w:t>
      </w:r>
    </w:p>
    <w:p w14:paraId="51EE0BB6" w14:textId="77777777" w:rsidR="001E3633" w:rsidRPr="00E75297" w:rsidRDefault="001E3633" w:rsidP="001E3633">
      <w:pPr>
        <w:rPr>
          <w:rFonts w:eastAsia="MS PGothic"/>
        </w:rPr>
      </w:pPr>
    </w:p>
    <w:p w14:paraId="34441BBC" w14:textId="77777777" w:rsidR="001E3633" w:rsidRPr="00E75297" w:rsidRDefault="001E3633" w:rsidP="001E3633">
      <w:pPr>
        <w:rPr>
          <w:rFonts w:eastAsia="MS PGothic"/>
          <w:lang w:val="en-US"/>
        </w:rPr>
      </w:pPr>
      <w:r w:rsidRPr="003B0763">
        <w:rPr>
          <w:rFonts w:eastAsia="MS PGothic"/>
          <w:lang w:val="en-US"/>
        </w:rPr>
        <w:t>tech</w:t>
      </w:r>
      <w:r w:rsidRPr="003B0763">
        <w:rPr>
          <w:rFonts w:eastAsia="MS PGothic"/>
          <w:b/>
          <w:lang w:val="en-US"/>
        </w:rPr>
        <w:t>consult</w:t>
      </w:r>
      <w:r w:rsidRPr="003B0763">
        <w:rPr>
          <w:rFonts w:eastAsia="MS PGothic"/>
          <w:lang w:val="en-US"/>
        </w:rPr>
        <w:t xml:space="preserve"> GmbH</w:t>
      </w:r>
      <w:r>
        <w:rPr>
          <w:rFonts w:eastAsia="MS PGothic"/>
          <w:lang w:val="en-US"/>
        </w:rPr>
        <w:br/>
      </w:r>
      <w:r w:rsidRPr="003B0763">
        <w:rPr>
          <w:rFonts w:eastAsia="MS PGothic"/>
          <w:lang w:val="en-US"/>
        </w:rPr>
        <w:t>– The IT Market Analysts –</w:t>
      </w:r>
      <w:r>
        <w:rPr>
          <w:rFonts w:eastAsia="MS PGothic"/>
          <w:lang w:val="en-US"/>
        </w:rPr>
        <w:br/>
      </w:r>
      <w:proofErr w:type="spellStart"/>
      <w:r w:rsidRPr="00E75297">
        <w:rPr>
          <w:rFonts w:eastAsia="MS PGothic"/>
          <w:lang w:val="en-US"/>
        </w:rPr>
        <w:t>Baunsbergstr</w:t>
      </w:r>
      <w:proofErr w:type="spellEnd"/>
      <w:r w:rsidRPr="00E75297">
        <w:rPr>
          <w:rFonts w:eastAsia="MS PGothic"/>
          <w:lang w:val="en-US"/>
        </w:rPr>
        <w:t>. 37</w:t>
      </w:r>
      <w:r w:rsidRPr="00E75297">
        <w:rPr>
          <w:rFonts w:eastAsia="MS PGothic"/>
          <w:lang w:val="en-US"/>
        </w:rPr>
        <w:br/>
        <w:t>D-34131 Kassel</w:t>
      </w:r>
    </w:p>
    <w:sectPr w:rsidR="001E3633" w:rsidRPr="00E75297">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76AFA" w14:textId="77777777" w:rsidR="00B5434D" w:rsidRDefault="00B5434D" w:rsidP="007D0B88">
      <w:pPr>
        <w:spacing w:after="0" w:line="240" w:lineRule="auto"/>
      </w:pPr>
      <w:r>
        <w:separator/>
      </w:r>
    </w:p>
  </w:endnote>
  <w:endnote w:type="continuationSeparator" w:id="0">
    <w:p w14:paraId="0E08B040" w14:textId="77777777" w:rsidR="00B5434D" w:rsidRDefault="00B5434D" w:rsidP="007D0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B524E" w14:textId="77777777" w:rsidR="00B5434D" w:rsidRDefault="00B5434D" w:rsidP="007D0B88">
    <w:pPr>
      <w:pStyle w:val="Fuzeile"/>
    </w:pPr>
    <w:r>
      <w:rPr>
        <w:noProof/>
        <w:lang w:eastAsia="de-DE"/>
      </w:rPr>
      <mc:AlternateContent>
        <mc:Choice Requires="wps">
          <w:drawing>
            <wp:anchor distT="0" distB="0" distL="114300" distR="114300" simplePos="0" relativeHeight="251661312" behindDoc="0" locked="0" layoutInCell="1" allowOverlap="1" wp14:anchorId="00AF6090" wp14:editId="631822FE">
              <wp:simplePos x="0" y="0"/>
              <wp:positionH relativeFrom="column">
                <wp:posOffset>-22860</wp:posOffset>
              </wp:positionH>
              <wp:positionV relativeFrom="paragraph">
                <wp:posOffset>123825</wp:posOffset>
              </wp:positionV>
              <wp:extent cx="5795010" cy="3175"/>
              <wp:effectExtent l="15240" t="9525" r="19050" b="15875"/>
              <wp:wrapNone/>
              <wp:docPr id="1"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5010" cy="3175"/>
                      </a:xfrm>
                      <a:custGeom>
                        <a:avLst/>
                        <a:gdLst>
                          <a:gd name="T0" fmla="*/ 0 w 9126"/>
                          <a:gd name="T1" fmla="*/ 0 h 5"/>
                          <a:gd name="T2" fmla="*/ 2147483646 w 9126"/>
                          <a:gd name="T3" fmla="*/ 2016125 h 5"/>
                          <a:gd name="T4" fmla="*/ 0 60000 65536"/>
                          <a:gd name="T5" fmla="*/ 0 60000 65536"/>
                        </a:gdLst>
                        <a:ahLst/>
                        <a:cxnLst>
                          <a:cxn ang="T4">
                            <a:pos x="T0" y="T1"/>
                          </a:cxn>
                          <a:cxn ang="T5">
                            <a:pos x="T2" y="T3"/>
                          </a:cxn>
                        </a:cxnLst>
                        <a:rect l="0" t="0" r="r" b="b"/>
                        <a:pathLst>
                          <a:path w="9126" h="5">
                            <a:moveTo>
                              <a:pt x="0" y="0"/>
                            </a:moveTo>
                            <a:lnTo>
                              <a:pt x="9126" y="5"/>
                            </a:lnTo>
                          </a:path>
                        </a:pathLst>
                      </a:custGeom>
                      <a:noFill/>
                      <a:ln w="19050">
                        <a:solidFill>
                          <a:srgbClr val="0C3A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polyline w14:anchorId="3AD518F7" id="Freeform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pt,9.75pt,454.5pt,10pt" coordsize="9126,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" filled="f" strokecolor="#0c3a68" strokeweight="1.5pt">
              <v:path arrowok="t" o:connecttype="custom" o:connectlocs="0,0;2147483646,1280239375" o:connectangles="0,0"/>
            </v:polyline>
          </w:pict>
        </mc:Fallback>
      </mc:AlternateContent>
    </w:r>
  </w:p>
  <w:p w14:paraId="24D160D7" w14:textId="4FDFBF3E" w:rsidR="00B5434D" w:rsidRPr="005B013C" w:rsidRDefault="00B5434D" w:rsidP="007D0B88">
    <w:pPr>
      <w:pStyle w:val="Fuzeile"/>
      <w:rPr>
        <w:rStyle w:val="Seitenzahl"/>
        <w:color w:val="032C59"/>
      </w:rPr>
    </w:pPr>
    <w:r>
      <w:rPr>
        <w:rStyle w:val="Seitenzahl"/>
        <w:rFonts w:ascii="Arial" w:hAnsi="Arial" w:cs="Arial"/>
        <w:color w:val="032C59"/>
        <w:sz w:val="18"/>
        <w:szCs w:val="18"/>
      </w:rPr>
      <w:t>© 2018</w:t>
    </w:r>
    <w:r w:rsidRPr="005B013C">
      <w:rPr>
        <w:rStyle w:val="Seitenzahl"/>
        <w:rFonts w:ascii="Arial" w:hAnsi="Arial" w:cs="Arial"/>
        <w:color w:val="032C59"/>
        <w:sz w:val="18"/>
        <w:szCs w:val="18"/>
      </w:rPr>
      <w:t>, techconsult GmbH</w:t>
    </w:r>
    <w:r w:rsidRPr="005B013C">
      <w:rPr>
        <w:rStyle w:val="Seitenzahl"/>
        <w:rFonts w:ascii="Arial" w:hAnsi="Arial" w:cs="Arial"/>
        <w:color w:val="032C59"/>
        <w:sz w:val="18"/>
        <w:szCs w:val="18"/>
      </w:rPr>
      <w:tab/>
    </w:r>
    <w:r w:rsidRPr="005B013C">
      <w:rPr>
        <w:rStyle w:val="Seitenzahl"/>
        <w:rFonts w:ascii="Arial" w:hAnsi="Arial" w:cs="Arial"/>
        <w:color w:val="032C59"/>
        <w:sz w:val="18"/>
        <w:szCs w:val="18"/>
      </w:rPr>
      <w:tab/>
    </w:r>
    <w:r w:rsidRPr="005B013C">
      <w:rPr>
        <w:rStyle w:val="Seitenzahl"/>
        <w:color w:val="032C59"/>
      </w:rPr>
      <w:fldChar w:fldCharType="begin"/>
    </w:r>
    <w:r w:rsidRPr="005B013C">
      <w:rPr>
        <w:rStyle w:val="Seitenzahl"/>
        <w:color w:val="032C59"/>
      </w:rPr>
      <w:instrText xml:space="preserve"> PAGE </w:instrText>
    </w:r>
    <w:r w:rsidRPr="005B013C">
      <w:rPr>
        <w:rStyle w:val="Seitenzahl"/>
        <w:color w:val="032C59"/>
      </w:rPr>
      <w:fldChar w:fldCharType="separate"/>
    </w:r>
    <w:r w:rsidR="00AE184F">
      <w:rPr>
        <w:rStyle w:val="Seitenzahl"/>
        <w:noProof/>
        <w:color w:val="032C59"/>
      </w:rPr>
      <w:t>4</w:t>
    </w:r>
    <w:r w:rsidRPr="005B013C">
      <w:rPr>
        <w:rStyle w:val="Seitenzahl"/>
        <w:color w:val="032C59"/>
      </w:rPr>
      <w:fldChar w:fldCharType="end"/>
    </w:r>
  </w:p>
  <w:p w14:paraId="0F7CDE2B" w14:textId="77777777" w:rsidR="00B5434D" w:rsidRDefault="00B5434D">
    <w:pPr>
      <w:pStyle w:val="Fuzeile"/>
    </w:pPr>
    <w:r>
      <w:rPr>
        <w:rStyle w:val="Seitenzahl"/>
        <w:color w:val="032C59"/>
        <w:sz w:val="16"/>
        <w:szCs w:val="16"/>
      </w:rPr>
      <w:t>Tel.: +49-(0)561-8109-140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E4F81" w14:textId="77777777" w:rsidR="00B5434D" w:rsidRDefault="00B5434D" w:rsidP="007D0B88">
      <w:pPr>
        <w:spacing w:after="0" w:line="240" w:lineRule="auto"/>
      </w:pPr>
      <w:r>
        <w:separator/>
      </w:r>
    </w:p>
  </w:footnote>
  <w:footnote w:type="continuationSeparator" w:id="0">
    <w:p w14:paraId="2507181A" w14:textId="77777777" w:rsidR="00B5434D" w:rsidRDefault="00B5434D" w:rsidP="007D0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D7AB6" w14:textId="77777777" w:rsidR="00B5434D" w:rsidRDefault="00B5434D" w:rsidP="007D0B88">
    <w:pPr>
      <w:pStyle w:val="Kopfzeile"/>
      <w:rPr>
        <w:noProof/>
        <w:color w:val="032C59"/>
      </w:rPr>
    </w:pPr>
    <w:r>
      <w:rPr>
        <w:noProof/>
        <w:lang w:eastAsia="de-DE"/>
      </w:rPr>
      <mc:AlternateContent>
        <mc:Choice Requires="wps">
          <w:drawing>
            <wp:anchor distT="4294967294" distB="4294967294" distL="114300" distR="114300" simplePos="0" relativeHeight="251659264" behindDoc="0" locked="0" layoutInCell="1" allowOverlap="1" wp14:anchorId="1C664FCD" wp14:editId="1C1019DB">
              <wp:simplePos x="0" y="0"/>
              <wp:positionH relativeFrom="column">
                <wp:posOffset>-3810</wp:posOffset>
              </wp:positionH>
              <wp:positionV relativeFrom="paragraph">
                <wp:posOffset>598169</wp:posOffset>
              </wp:positionV>
              <wp:extent cx="5733415" cy="0"/>
              <wp:effectExtent l="0" t="0" r="19685" b="1905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straightConnector1">
                        <a:avLst/>
                      </a:prstGeom>
                      <a:noFill/>
                      <a:ln w="19050">
                        <a:solidFill>
                          <a:srgbClr val="032C5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15B9A593" id="_x0000_t32" coordsize="21600,21600" o:spt="32" o:oned="t" path="m0,0l21600,21600e" filled="f">
              <v:path arrowok="t" fillok="f" o:connecttype="none"/>
              <o:lock v:ext="edit" shapetype="t"/>
            </v:shapetype>
            <v:shape id="AutoShape 9" o:spid="_x0000_s1026" type="#_x0000_t32" style="position:absolute;margin-left:-.3pt;margin-top:47.1pt;width:451.45pt;height:0;z-index:25165926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" strokecolor="#032c59" strokeweight="1.5pt"/>
          </w:pict>
        </mc:Fallback>
      </mc:AlternateContent>
    </w:r>
    <w:r>
      <w:t>Pressemitteilung</w:t>
    </w:r>
    <w:r>
      <w:tab/>
    </w:r>
    <w:r>
      <w:tab/>
    </w:r>
    <w:r w:rsidRPr="00ED4CB7">
      <w:rPr>
        <w:noProof/>
        <w:lang w:eastAsia="de-DE"/>
      </w:rPr>
      <w:drawing>
        <wp:inline distT="0" distB="0" distL="0" distR="0" wp14:anchorId="30BCAABF" wp14:editId="50EF201A">
          <wp:extent cx="1853419" cy="428628"/>
          <wp:effectExtent l="19050" t="0" r="0" b="0"/>
          <wp:docPr id="2" name="Bild 11" descr="C:\Dokumente und Einstellungen\Administrator\Desktop\logo_final.jpg"/>
          <wp:cNvGraphicFramePr/>
          <a:graphic xmlns:a="http://schemas.openxmlformats.org/drawingml/2006/main">
            <a:graphicData uri="http://schemas.openxmlformats.org/drawingml/2006/picture">
              <pic:pic xmlns:pic="http://schemas.openxmlformats.org/drawingml/2006/picture">
                <pic:nvPicPr>
                  <pic:cNvPr id="1026" name="Picture 2" descr="C:\Dokumente und Einstellungen\Administrator\Desktop\logo_final.jpg"/>
                  <pic:cNvPicPr>
                    <a:picLocks noChangeAspect="1" noChangeArrowheads="1"/>
                  </pic:cNvPicPr>
                </pic:nvPicPr>
                <pic:blipFill>
                  <a:blip r:embed="rId1" cstate="print"/>
                  <a:srcRect/>
                  <a:stretch>
                    <a:fillRect/>
                  </a:stretch>
                </pic:blipFill>
                <pic:spPr bwMode="auto">
                  <a:xfrm>
                    <a:off x="0" y="0"/>
                    <a:ext cx="1853419" cy="428628"/>
                  </a:xfrm>
                  <a:prstGeom prst="rect">
                    <a:avLst/>
                  </a:prstGeom>
                  <a:noFill/>
                </pic:spPr>
              </pic:pic>
            </a:graphicData>
          </a:graphic>
        </wp:inline>
      </w:drawing>
    </w:r>
  </w:p>
  <w:p w14:paraId="001947B3" w14:textId="77777777" w:rsidR="00B5434D" w:rsidRPr="00ED4CB7" w:rsidRDefault="00B5434D" w:rsidP="007D0B88">
    <w:pPr>
      <w:pStyle w:val="Kopfzeile"/>
      <w:rPr>
        <w:noProof/>
      </w:rPr>
    </w:pPr>
  </w:p>
  <w:p w14:paraId="64E05E9D" w14:textId="77777777" w:rsidR="00B5434D" w:rsidRDefault="00B543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3A1"/>
    <w:rsid w:val="00002161"/>
    <w:rsid w:val="00017FE4"/>
    <w:rsid w:val="00027FDD"/>
    <w:rsid w:val="00097E9C"/>
    <w:rsid w:val="000C1EFC"/>
    <w:rsid w:val="000C54F6"/>
    <w:rsid w:val="000D1707"/>
    <w:rsid w:val="000F1F1F"/>
    <w:rsid w:val="001045B9"/>
    <w:rsid w:val="00110D2B"/>
    <w:rsid w:val="00112BA7"/>
    <w:rsid w:val="00126EB7"/>
    <w:rsid w:val="001401E2"/>
    <w:rsid w:val="001626E1"/>
    <w:rsid w:val="001A752D"/>
    <w:rsid w:val="001D4FDA"/>
    <w:rsid w:val="001E3633"/>
    <w:rsid w:val="001E408B"/>
    <w:rsid w:val="001F7D65"/>
    <w:rsid w:val="00252313"/>
    <w:rsid w:val="00254C11"/>
    <w:rsid w:val="00255FA5"/>
    <w:rsid w:val="002659FD"/>
    <w:rsid w:val="00267E70"/>
    <w:rsid w:val="002839D2"/>
    <w:rsid w:val="002B2634"/>
    <w:rsid w:val="002B408C"/>
    <w:rsid w:val="002E2A23"/>
    <w:rsid w:val="00302057"/>
    <w:rsid w:val="0032508D"/>
    <w:rsid w:val="003321A2"/>
    <w:rsid w:val="003511BB"/>
    <w:rsid w:val="0035436C"/>
    <w:rsid w:val="0038077D"/>
    <w:rsid w:val="00381DA8"/>
    <w:rsid w:val="00387017"/>
    <w:rsid w:val="003930D8"/>
    <w:rsid w:val="00395C5F"/>
    <w:rsid w:val="003D1B6B"/>
    <w:rsid w:val="0041197B"/>
    <w:rsid w:val="00450566"/>
    <w:rsid w:val="00451C63"/>
    <w:rsid w:val="00472185"/>
    <w:rsid w:val="004777BF"/>
    <w:rsid w:val="00485275"/>
    <w:rsid w:val="004E2B14"/>
    <w:rsid w:val="004F5FC0"/>
    <w:rsid w:val="00513316"/>
    <w:rsid w:val="00546D49"/>
    <w:rsid w:val="00556483"/>
    <w:rsid w:val="00563680"/>
    <w:rsid w:val="00571CBE"/>
    <w:rsid w:val="005912FB"/>
    <w:rsid w:val="0059351D"/>
    <w:rsid w:val="005A476D"/>
    <w:rsid w:val="005B7923"/>
    <w:rsid w:val="00625B00"/>
    <w:rsid w:val="006607FD"/>
    <w:rsid w:val="00664B34"/>
    <w:rsid w:val="00673894"/>
    <w:rsid w:val="006A75DA"/>
    <w:rsid w:val="006B23E0"/>
    <w:rsid w:val="006B518D"/>
    <w:rsid w:val="00721B66"/>
    <w:rsid w:val="007246F8"/>
    <w:rsid w:val="00726B7D"/>
    <w:rsid w:val="00775001"/>
    <w:rsid w:val="00782D5D"/>
    <w:rsid w:val="0078660B"/>
    <w:rsid w:val="007D0B88"/>
    <w:rsid w:val="007E3DFE"/>
    <w:rsid w:val="007F1139"/>
    <w:rsid w:val="00802328"/>
    <w:rsid w:val="00805470"/>
    <w:rsid w:val="008055CE"/>
    <w:rsid w:val="00807A0F"/>
    <w:rsid w:val="008132C1"/>
    <w:rsid w:val="00813AFD"/>
    <w:rsid w:val="00816530"/>
    <w:rsid w:val="00831DCC"/>
    <w:rsid w:val="00833C40"/>
    <w:rsid w:val="00861502"/>
    <w:rsid w:val="00863C07"/>
    <w:rsid w:val="00885E2E"/>
    <w:rsid w:val="0089062B"/>
    <w:rsid w:val="008D16DB"/>
    <w:rsid w:val="009010B6"/>
    <w:rsid w:val="00902AAB"/>
    <w:rsid w:val="009441D3"/>
    <w:rsid w:val="00983464"/>
    <w:rsid w:val="00986592"/>
    <w:rsid w:val="00997D96"/>
    <w:rsid w:val="009C738F"/>
    <w:rsid w:val="009D77E0"/>
    <w:rsid w:val="009E55BF"/>
    <w:rsid w:val="009F1D0D"/>
    <w:rsid w:val="00A31B30"/>
    <w:rsid w:val="00A826BB"/>
    <w:rsid w:val="00AB44D0"/>
    <w:rsid w:val="00AD023A"/>
    <w:rsid w:val="00AD2DF3"/>
    <w:rsid w:val="00AD7B53"/>
    <w:rsid w:val="00AE184F"/>
    <w:rsid w:val="00AE5CED"/>
    <w:rsid w:val="00AF3828"/>
    <w:rsid w:val="00B04BC5"/>
    <w:rsid w:val="00B1516F"/>
    <w:rsid w:val="00B373AC"/>
    <w:rsid w:val="00B40B1B"/>
    <w:rsid w:val="00B5434D"/>
    <w:rsid w:val="00B5738A"/>
    <w:rsid w:val="00BA11F8"/>
    <w:rsid w:val="00BB5B8E"/>
    <w:rsid w:val="00BB631A"/>
    <w:rsid w:val="00BC4174"/>
    <w:rsid w:val="00BF194F"/>
    <w:rsid w:val="00BF1E5F"/>
    <w:rsid w:val="00C05713"/>
    <w:rsid w:val="00C355BC"/>
    <w:rsid w:val="00C537AE"/>
    <w:rsid w:val="00C566A4"/>
    <w:rsid w:val="00C9526C"/>
    <w:rsid w:val="00C966C2"/>
    <w:rsid w:val="00CA799E"/>
    <w:rsid w:val="00CE258C"/>
    <w:rsid w:val="00CF660D"/>
    <w:rsid w:val="00D05A5D"/>
    <w:rsid w:val="00D42C6A"/>
    <w:rsid w:val="00D45F78"/>
    <w:rsid w:val="00D6678C"/>
    <w:rsid w:val="00D74F5B"/>
    <w:rsid w:val="00D93B50"/>
    <w:rsid w:val="00DB554F"/>
    <w:rsid w:val="00DD13B2"/>
    <w:rsid w:val="00DD32CD"/>
    <w:rsid w:val="00E21029"/>
    <w:rsid w:val="00E2408F"/>
    <w:rsid w:val="00E350B5"/>
    <w:rsid w:val="00E46132"/>
    <w:rsid w:val="00E46D35"/>
    <w:rsid w:val="00E6004E"/>
    <w:rsid w:val="00E60FDC"/>
    <w:rsid w:val="00E8281D"/>
    <w:rsid w:val="00E86C32"/>
    <w:rsid w:val="00EB236B"/>
    <w:rsid w:val="00EC6A3E"/>
    <w:rsid w:val="00ED038F"/>
    <w:rsid w:val="00ED3783"/>
    <w:rsid w:val="00ED4652"/>
    <w:rsid w:val="00F131BC"/>
    <w:rsid w:val="00F1741B"/>
    <w:rsid w:val="00F22049"/>
    <w:rsid w:val="00F323A1"/>
    <w:rsid w:val="00F468CB"/>
    <w:rsid w:val="00F95E8A"/>
    <w:rsid w:val="00FB3C51"/>
    <w:rsid w:val="00FC2E16"/>
    <w:rsid w:val="00FD6DC0"/>
    <w:rsid w:val="00FF69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D91C9"/>
  <w15:chartTrackingRefBased/>
  <w15:docId w15:val="{513CEF1E-F460-4198-9E12-E52265F3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807A0F"/>
    <w:pPr>
      <w:spacing w:after="200" w:line="276" w:lineRule="auto"/>
    </w:pPr>
    <w:rPr>
      <w:rFonts w:eastAsiaTheme="minorEastAsia"/>
    </w:rPr>
  </w:style>
  <w:style w:type="paragraph" w:styleId="berschrift1">
    <w:name w:val="heading 1"/>
    <w:basedOn w:val="Standard"/>
    <w:next w:val="Standard"/>
    <w:link w:val="berschrift1Zchn"/>
    <w:uiPriority w:val="9"/>
    <w:qFormat/>
    <w:rsid w:val="00807A0F"/>
    <w:pPr>
      <w:keepNext/>
      <w:keepLines/>
      <w:spacing w:before="320" w:after="160" w:line="240" w:lineRule="auto"/>
      <w:outlineLvl w:val="0"/>
    </w:pPr>
    <w:rPr>
      <w:rFonts w:asciiTheme="majorHAnsi" w:eastAsiaTheme="majorEastAsia" w:hAnsiTheme="majorHAnsi" w:cstheme="majorBidi"/>
      <w:color w:val="2F5496" w:themeColor="accent1" w:themeShade="BF"/>
      <w:sz w:val="30"/>
      <w:szCs w:val="30"/>
    </w:rPr>
  </w:style>
  <w:style w:type="paragraph" w:styleId="berschrift2">
    <w:name w:val="heading 2"/>
    <w:basedOn w:val="Standard"/>
    <w:next w:val="Standard"/>
    <w:link w:val="berschrift2Zchn"/>
    <w:uiPriority w:val="9"/>
    <w:unhideWhenUsed/>
    <w:qFormat/>
    <w:rsid w:val="003807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07A0F"/>
    <w:rPr>
      <w:rFonts w:asciiTheme="majorHAnsi" w:eastAsiaTheme="majorEastAsia" w:hAnsiTheme="majorHAnsi" w:cstheme="majorBidi"/>
      <w:color w:val="2F5496" w:themeColor="accent1" w:themeShade="BF"/>
      <w:sz w:val="30"/>
      <w:szCs w:val="30"/>
    </w:rPr>
  </w:style>
  <w:style w:type="paragraph" w:styleId="Titel">
    <w:name w:val="Title"/>
    <w:basedOn w:val="Standard"/>
    <w:next w:val="Standard"/>
    <w:link w:val="TitelZchn"/>
    <w:uiPriority w:val="10"/>
    <w:qFormat/>
    <w:rsid w:val="001045B9"/>
    <w:pP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de-DE"/>
    </w:rPr>
  </w:style>
  <w:style w:type="character" w:customStyle="1" w:styleId="TitelZchn">
    <w:name w:val="Titel Zchn"/>
    <w:basedOn w:val="Absatz-Standardschriftart"/>
    <w:link w:val="Titel"/>
    <w:uiPriority w:val="10"/>
    <w:rsid w:val="001045B9"/>
    <w:rPr>
      <w:rFonts w:asciiTheme="majorHAnsi" w:eastAsiaTheme="majorEastAsia" w:hAnsiTheme="majorHAnsi" w:cstheme="majorBidi"/>
      <w:color w:val="323E4F" w:themeColor="text2" w:themeShade="BF"/>
      <w:spacing w:val="5"/>
      <w:kern w:val="28"/>
      <w:sz w:val="52"/>
      <w:szCs w:val="52"/>
      <w:lang w:eastAsia="de-DE"/>
    </w:rPr>
  </w:style>
  <w:style w:type="character" w:styleId="Fett">
    <w:name w:val="Strong"/>
    <w:basedOn w:val="Absatz-Standardschriftart"/>
    <w:uiPriority w:val="22"/>
    <w:qFormat/>
    <w:rsid w:val="001045B9"/>
    <w:rPr>
      <w:b/>
      <w:bCs/>
    </w:rPr>
  </w:style>
  <w:style w:type="paragraph" w:styleId="Kopfzeile">
    <w:name w:val="header"/>
    <w:basedOn w:val="Standard"/>
    <w:link w:val="KopfzeileZchn"/>
    <w:unhideWhenUsed/>
    <w:rsid w:val="007D0B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0B88"/>
    <w:rPr>
      <w:rFonts w:eastAsiaTheme="minorEastAsia"/>
    </w:rPr>
  </w:style>
  <w:style w:type="paragraph" w:styleId="Fuzeile">
    <w:name w:val="footer"/>
    <w:basedOn w:val="Standard"/>
    <w:link w:val="FuzeileZchn"/>
    <w:unhideWhenUsed/>
    <w:rsid w:val="007D0B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0B88"/>
    <w:rPr>
      <w:rFonts w:eastAsiaTheme="minorEastAsia"/>
    </w:rPr>
  </w:style>
  <w:style w:type="character" w:styleId="Seitenzahl">
    <w:name w:val="page number"/>
    <w:basedOn w:val="Absatz-Standardschriftart"/>
    <w:rsid w:val="007D0B88"/>
  </w:style>
  <w:style w:type="character" w:styleId="Hyperlink">
    <w:name w:val="Hyperlink"/>
    <w:basedOn w:val="Absatz-Standardschriftart"/>
    <w:uiPriority w:val="99"/>
    <w:unhideWhenUsed/>
    <w:rsid w:val="001E3633"/>
    <w:rPr>
      <w:color w:val="0563C1" w:themeColor="hyperlink"/>
      <w:u w:val="single"/>
    </w:rPr>
  </w:style>
  <w:style w:type="character" w:styleId="Kommentarzeichen">
    <w:name w:val="annotation reference"/>
    <w:basedOn w:val="Absatz-Standardschriftart"/>
    <w:uiPriority w:val="99"/>
    <w:semiHidden/>
    <w:unhideWhenUsed/>
    <w:rsid w:val="00DB554F"/>
    <w:rPr>
      <w:sz w:val="16"/>
      <w:szCs w:val="16"/>
    </w:rPr>
  </w:style>
  <w:style w:type="paragraph" w:styleId="Kommentartext">
    <w:name w:val="annotation text"/>
    <w:basedOn w:val="Standard"/>
    <w:link w:val="KommentartextZchn"/>
    <w:uiPriority w:val="99"/>
    <w:semiHidden/>
    <w:unhideWhenUsed/>
    <w:rsid w:val="00DB554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554F"/>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rsid w:val="00DB554F"/>
    <w:rPr>
      <w:b/>
      <w:bCs/>
    </w:rPr>
  </w:style>
  <w:style w:type="character" w:customStyle="1" w:styleId="KommentarthemaZchn">
    <w:name w:val="Kommentarthema Zchn"/>
    <w:basedOn w:val="KommentartextZchn"/>
    <w:link w:val="Kommentarthema"/>
    <w:uiPriority w:val="99"/>
    <w:semiHidden/>
    <w:rsid w:val="00DB554F"/>
    <w:rPr>
      <w:rFonts w:eastAsiaTheme="minorEastAsia"/>
      <w:b/>
      <w:bCs/>
      <w:sz w:val="20"/>
      <w:szCs w:val="20"/>
    </w:rPr>
  </w:style>
  <w:style w:type="paragraph" w:styleId="Sprechblasentext">
    <w:name w:val="Balloon Text"/>
    <w:basedOn w:val="Standard"/>
    <w:link w:val="SprechblasentextZchn"/>
    <w:uiPriority w:val="99"/>
    <w:semiHidden/>
    <w:unhideWhenUsed/>
    <w:rsid w:val="00DB55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B554F"/>
    <w:rPr>
      <w:rFonts w:ascii="Segoe UI" w:eastAsiaTheme="minorEastAsia" w:hAnsi="Segoe UI" w:cs="Segoe UI"/>
      <w:sz w:val="18"/>
      <w:szCs w:val="18"/>
    </w:rPr>
  </w:style>
  <w:style w:type="character" w:customStyle="1" w:styleId="NichtaufgelsteErwhnung1">
    <w:name w:val="Nicht aufgelöste Erwähnung1"/>
    <w:basedOn w:val="Absatz-Standardschriftart"/>
    <w:uiPriority w:val="99"/>
    <w:rsid w:val="00F95E8A"/>
    <w:rPr>
      <w:color w:val="808080"/>
      <w:shd w:val="clear" w:color="auto" w:fill="E6E6E6"/>
    </w:rPr>
  </w:style>
  <w:style w:type="character" w:customStyle="1" w:styleId="berschrift2Zchn">
    <w:name w:val="Überschrift 2 Zchn"/>
    <w:basedOn w:val="Absatz-Standardschriftart"/>
    <w:link w:val="berschrift2"/>
    <w:uiPriority w:val="9"/>
    <w:rsid w:val="0038077D"/>
    <w:rPr>
      <w:rFonts w:asciiTheme="majorHAnsi" w:eastAsiaTheme="majorEastAsia" w:hAnsiTheme="majorHAnsi" w:cstheme="majorBidi"/>
      <w:color w:val="2F5496" w:themeColor="accent1" w:themeShade="BF"/>
      <w:sz w:val="26"/>
      <w:szCs w:val="26"/>
    </w:rPr>
  </w:style>
  <w:style w:type="paragraph" w:styleId="Untertitel">
    <w:name w:val="Subtitle"/>
    <w:basedOn w:val="Standard"/>
    <w:next w:val="Standard"/>
    <w:link w:val="UntertitelZchn"/>
    <w:uiPriority w:val="11"/>
    <w:qFormat/>
    <w:rsid w:val="0038077D"/>
    <w:pPr>
      <w:numPr>
        <w:ilvl w:val="1"/>
      </w:numPr>
      <w:spacing w:after="160"/>
    </w:pPr>
    <w:rPr>
      <w:color w:val="5A5A5A" w:themeColor="text1" w:themeTint="A5"/>
      <w:spacing w:val="15"/>
    </w:rPr>
  </w:style>
  <w:style w:type="character" w:customStyle="1" w:styleId="UntertitelZchn">
    <w:name w:val="Untertitel Zchn"/>
    <w:basedOn w:val="Absatz-Standardschriftart"/>
    <w:link w:val="Untertitel"/>
    <w:uiPriority w:val="11"/>
    <w:rsid w:val="0038077D"/>
    <w:rPr>
      <w:rFonts w:eastAsiaTheme="minorEastAsia"/>
      <w:color w:val="5A5A5A" w:themeColor="text1" w:themeTint="A5"/>
      <w:spacing w:val="15"/>
    </w:rPr>
  </w:style>
  <w:style w:type="character" w:styleId="NichtaufgelsteErwhnung">
    <w:name w:val="Unresolved Mention"/>
    <w:basedOn w:val="Absatz-Standardschriftart"/>
    <w:uiPriority w:val="99"/>
    <w:rsid w:val="005B79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429896">
      <w:bodyDiv w:val="1"/>
      <w:marLeft w:val="0"/>
      <w:marRight w:val="0"/>
      <w:marTop w:val="0"/>
      <w:marBottom w:val="0"/>
      <w:divBdr>
        <w:top w:val="none" w:sz="0" w:space="0" w:color="auto"/>
        <w:left w:val="none" w:sz="0" w:space="0" w:color="auto"/>
        <w:bottom w:val="none" w:sz="0" w:space="0" w:color="auto"/>
        <w:right w:val="none" w:sz="0" w:space="0" w:color="auto"/>
      </w:divBdr>
    </w:div>
    <w:div w:id="110561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chconsult.de/studien/studie-zur-information-supply-chain"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denstudy.com" TargetMode="External"/><Relationship Id="rId12" Type="http://schemas.openxmlformats.org/officeDocument/2006/relationships/hyperlink" Target="http://www.techconsult.d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nancy.weddig@techconsult.d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tgoa.com" TargetMode="External"/><Relationship Id="rId4" Type="http://schemas.openxmlformats.org/officeDocument/2006/relationships/footnotes" Target="footnotes.xml"/><Relationship Id="rId9" Type="http://schemas.openxmlformats.org/officeDocument/2006/relationships/hyperlink" Target="mailto:info@tgoa.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836</Words>
  <Characters>5270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Groß</dc:creator>
  <cp:keywords/>
  <dc:description/>
  <cp:lastModifiedBy>Nancy Weddig</cp:lastModifiedBy>
  <cp:revision>4</cp:revision>
  <dcterms:created xsi:type="dcterms:W3CDTF">2018-02-21T14:34:00Z</dcterms:created>
  <dcterms:modified xsi:type="dcterms:W3CDTF">2018-02-22T10:02:00Z</dcterms:modified>
</cp:coreProperties>
</file>